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 С Т А Н О В Л Е Н И Е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82C56" w:rsidRDefault="0098420A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>
        <w:rPr>
          <w:rFonts w:eastAsia="Times New Roman"/>
          <w:b w:val="0"/>
          <w:sz w:val="24"/>
          <w:szCs w:val="24"/>
        </w:rPr>
        <w:t xml:space="preserve">  </w:t>
      </w:r>
      <w:r w:rsidR="00324511">
        <w:rPr>
          <w:rFonts w:eastAsia="Times New Roman"/>
          <w:b w:val="0"/>
          <w:sz w:val="24"/>
          <w:szCs w:val="24"/>
        </w:rPr>
        <w:t xml:space="preserve">от 29 апреля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2E41E7">
        <w:rPr>
          <w:rFonts w:eastAsia="Times New Roman"/>
          <w:b w:val="0"/>
          <w:sz w:val="24"/>
          <w:szCs w:val="24"/>
        </w:rPr>
        <w:t>1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  <w:r>
        <w:rPr>
          <w:rFonts w:eastAsia="Times New Roman"/>
          <w:b w:val="0"/>
          <w:sz w:val="24"/>
          <w:szCs w:val="24"/>
        </w:rPr>
        <w:t xml:space="preserve">    </w:t>
      </w:r>
      <w:r w:rsidR="00D3124C">
        <w:rPr>
          <w:rFonts w:eastAsia="Times New Roman"/>
          <w:b w:val="0"/>
          <w:sz w:val="24"/>
          <w:szCs w:val="24"/>
        </w:rPr>
        <w:t xml:space="preserve">    </w:t>
      </w:r>
      <w:r>
        <w:rPr>
          <w:rFonts w:eastAsia="Times New Roman"/>
          <w:b w:val="0"/>
          <w:sz w:val="24"/>
          <w:szCs w:val="24"/>
        </w:rPr>
        <w:t xml:space="preserve">   </w:t>
      </w:r>
      <w:r w:rsidR="00D3124C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582C56">
        <w:rPr>
          <w:rFonts w:eastAsia="Times New Roman"/>
          <w:b w:val="0"/>
          <w:sz w:val="24"/>
          <w:szCs w:val="24"/>
        </w:rPr>
        <w:t>№</w:t>
      </w:r>
      <w:r w:rsidR="00324511">
        <w:rPr>
          <w:rFonts w:eastAsia="Times New Roman"/>
          <w:b w:val="0"/>
          <w:sz w:val="24"/>
          <w:szCs w:val="24"/>
        </w:rPr>
        <w:t xml:space="preserve"> 48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E41E7">
        <w:rPr>
          <w:rFonts w:eastAsia="Times New Roman"/>
          <w:b w:val="0"/>
          <w:sz w:val="24"/>
          <w:szCs w:val="24"/>
        </w:rPr>
        <w:t>1 квартал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2E41E7">
        <w:rPr>
          <w:rFonts w:eastAsia="Times New Roman"/>
          <w:b w:val="0"/>
          <w:sz w:val="24"/>
          <w:szCs w:val="24"/>
        </w:rPr>
        <w:t>1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Pr="00795C39">
        <w:t>п.4 ст.33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>, руководствуясь ст. ст.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E41E7">
        <w:rPr>
          <w:rFonts w:eastAsia="Times New Roman"/>
        </w:rPr>
        <w:t xml:space="preserve">1 квартал </w:t>
      </w:r>
      <w:r w:rsidR="001233DF">
        <w:rPr>
          <w:rFonts w:eastAsia="Times New Roman"/>
        </w:rPr>
        <w:t>202</w:t>
      </w:r>
      <w:r w:rsidR="002E41E7">
        <w:rPr>
          <w:rFonts w:eastAsia="Times New Roman"/>
        </w:rPr>
        <w:t>1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Normal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 согласно Приложению № 3 к настоящему постановлению.</w:t>
      </w:r>
    </w:p>
    <w:p w:rsidR="00D6542D" w:rsidRPr="00D224A5" w:rsidRDefault="00D6542D" w:rsidP="00D6542D">
      <w:pPr>
        <w:pStyle w:val="Normal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http://Харайгун.рф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24511" w:rsidP="00582C56">
      <w:pPr>
        <w:jc w:val="both"/>
      </w:pPr>
      <w:r>
        <w:t>И.о. главы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324511">
        <w:t xml:space="preserve">Е.А. Мармазова </w:t>
      </w:r>
      <w:r w:rsidR="00360B38">
        <w:t xml:space="preserve">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  </w:t>
      </w:r>
      <w:r w:rsidR="00324511">
        <w:rPr>
          <w:b w:val="0"/>
          <w:sz w:val="22"/>
          <w:szCs w:val="22"/>
        </w:rPr>
        <w:t xml:space="preserve"> 29.04 2021 г. </w:t>
      </w:r>
      <w:r w:rsidR="00100123" w:rsidRPr="00B12F07"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№ </w:t>
      </w:r>
      <w:r w:rsidR="00324511">
        <w:rPr>
          <w:b w:val="0"/>
          <w:sz w:val="22"/>
          <w:szCs w:val="22"/>
        </w:rPr>
        <w:t>48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за </w:t>
      </w:r>
    </w:p>
    <w:p w:rsidR="000230AA" w:rsidRPr="00426F93" w:rsidRDefault="004F2D4B" w:rsidP="001D5D17">
      <w:pPr>
        <w:ind w:right="-2"/>
        <w:jc w:val="center"/>
        <w:rPr>
          <w:b/>
        </w:rPr>
      </w:pPr>
      <w:r>
        <w:rPr>
          <w:rFonts w:eastAsia="Times New Roman"/>
          <w:b/>
        </w:rPr>
        <w:t>1 квартал 2021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F56297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F56297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1 631 300,00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365 765,81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22,4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760 200,00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164 149,17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21,6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1 151,28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23,5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1 014 700,00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229 781,26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22,6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F56297">
              <w:rPr>
                <w:rFonts w:eastAsia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-148 500,00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-29 315,90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19,7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753 500,00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109 682,53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14,6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8 691,27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20,9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570,08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60,25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2 092,95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1,0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55,41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52 237,35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15,8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44 108,74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29,4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1 212,10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1 538 900,00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42 026,47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2,7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83,3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1 333 900,00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11 950,00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24,6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29 076,47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21,2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4 602 142,00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1 099 978,00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23,9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318 300,00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79 575,00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25,0</w:t>
            </w:r>
          </w:p>
        </w:tc>
      </w:tr>
      <w:tr w:rsidR="00F56297" w:rsidRPr="00F56297" w:rsidTr="00F56297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97" w:rsidRPr="00F56297" w:rsidRDefault="00F56297" w:rsidP="00F56297">
            <w:pPr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4 283 842,00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56297">
              <w:rPr>
                <w:rFonts w:eastAsia="Times New Roman"/>
                <w:sz w:val="20"/>
                <w:szCs w:val="20"/>
              </w:rPr>
              <w:t>1 020 403,00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23,8</w:t>
            </w:r>
          </w:p>
        </w:tc>
      </w:tr>
      <w:tr w:rsidR="00F56297" w:rsidRPr="00F56297" w:rsidTr="00F56297">
        <w:trPr>
          <w:trHeight w:val="300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297" w:rsidRPr="00F56297" w:rsidRDefault="00F56297" w:rsidP="00F5629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/>
                <w:bCs/>
                <w:sz w:val="20"/>
                <w:szCs w:val="20"/>
              </w:rPr>
              <w:t>8 525 842,00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/>
                <w:bCs/>
                <w:sz w:val="20"/>
                <w:szCs w:val="20"/>
              </w:rPr>
              <w:t>1 617 452,81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97" w:rsidRPr="00F56297" w:rsidRDefault="00F56297" w:rsidP="00F5629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/>
                <w:bCs/>
                <w:sz w:val="20"/>
                <w:szCs w:val="20"/>
              </w:rPr>
              <w:t>19,0</w:t>
            </w:r>
          </w:p>
        </w:tc>
      </w:tr>
    </w:tbl>
    <w:p w:rsidR="00F371F6" w:rsidRDefault="00F371F6" w:rsidP="000230AA">
      <w:pPr>
        <w:jc w:val="right"/>
        <w:rPr>
          <w:sz w:val="22"/>
          <w:szCs w:val="22"/>
        </w:rPr>
      </w:pPr>
    </w:p>
    <w:p w:rsidR="00936126" w:rsidRDefault="00936126" w:rsidP="00321F6A">
      <w:pPr>
        <w:rPr>
          <w:sz w:val="22"/>
          <w:szCs w:val="22"/>
        </w:rPr>
      </w:pPr>
    </w:p>
    <w:p w:rsidR="00321F6A" w:rsidRDefault="00321F6A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936126" w:rsidRDefault="00936126" w:rsidP="000230AA">
      <w:pPr>
        <w:jc w:val="right"/>
        <w:rPr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324511">
        <w:rPr>
          <w:b w:val="0"/>
          <w:sz w:val="22"/>
          <w:szCs w:val="22"/>
        </w:rPr>
        <w:t>29.04.2021 г.</w:t>
      </w:r>
      <w:r>
        <w:rPr>
          <w:b w:val="0"/>
          <w:sz w:val="22"/>
          <w:szCs w:val="22"/>
        </w:rPr>
        <w:t xml:space="preserve"> </w:t>
      </w:r>
      <w:r w:rsidRPr="00B12F07">
        <w:rPr>
          <w:b w:val="0"/>
          <w:sz w:val="22"/>
          <w:szCs w:val="22"/>
        </w:rPr>
        <w:t xml:space="preserve"> № </w:t>
      </w:r>
      <w:r w:rsidR="00324511">
        <w:rPr>
          <w:b w:val="0"/>
          <w:sz w:val="22"/>
          <w:szCs w:val="22"/>
        </w:rPr>
        <w:t>48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r w:rsidRPr="00D07640">
        <w:rPr>
          <w:b/>
          <w:color w:val="000000"/>
        </w:rPr>
        <w:t xml:space="preserve">за </w:t>
      </w:r>
    </w:p>
    <w:p w:rsidR="008E3474" w:rsidRDefault="004F2D4B" w:rsidP="008E3474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2021</w:t>
      </w:r>
      <w:r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923" w:type="dxa"/>
        <w:tblInd w:w="-34" w:type="dxa"/>
        <w:tblLayout w:type="fixed"/>
        <w:tblLook w:val="04A0"/>
      </w:tblPr>
      <w:tblGrid>
        <w:gridCol w:w="2836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D4412D">
        <w:trPr>
          <w:trHeight w:val="20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D4412D">
        <w:trPr>
          <w:trHeight w:val="20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472 676,00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109 561,73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2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142 748,00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26 960,29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9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1 288 968,00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229 204,34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8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387 381,00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66 850,55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3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278 647,86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96 576,04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7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119 264,00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71 969,92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4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4 254,00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1 539,31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2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95 776,00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22 332,16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3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DF3A13">
              <w:rPr>
                <w:rFonts w:eastAsia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28 924,00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6 744,31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23,3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34 964,50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3 310,96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10 559,30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999,93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2 276,20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569,05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2 881 869,32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176 212,00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166 324,00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31 695,00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1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39 969,00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6 400,39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371 420,00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130 093,98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>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131 885,52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860 600,00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1 114 785,00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218 824,37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  <w:lang w:val="en-US"/>
              </w:rPr>
            </w:pPr>
            <w:r w:rsidRPr="00DF3A13">
              <w:rPr>
                <w:sz w:val="20"/>
                <w:szCs w:val="20"/>
              </w:rPr>
              <w:t>19,6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316 420,00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56 834,48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8 880,00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1 850,00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8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155 504,74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24 477,23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7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184 780,40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80 339,31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5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383 101,00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94 000,00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sz w:val="20"/>
                <w:szCs w:val="20"/>
              </w:rPr>
            </w:pPr>
            <w:r w:rsidRPr="00DF3A13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5</w:t>
            </w:r>
          </w:p>
        </w:tc>
      </w:tr>
      <w:tr w:rsidR="00DF3A13" w:rsidRPr="00DF3A13" w:rsidTr="00D4412D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rPr>
                <w:rFonts w:eastAsia="Times New Roman"/>
                <w:b/>
                <w:sz w:val="20"/>
                <w:szCs w:val="20"/>
              </w:rPr>
            </w:pPr>
            <w:r w:rsidRPr="00DF3A13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3A1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3A1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3A1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F3A13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b/>
                <w:sz w:val="20"/>
                <w:szCs w:val="20"/>
              </w:rPr>
            </w:pPr>
            <w:r w:rsidRPr="00DF3A13">
              <w:rPr>
                <w:b/>
                <w:sz w:val="20"/>
                <w:szCs w:val="20"/>
              </w:rPr>
              <w:t>10 367 177,84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b/>
                <w:sz w:val="20"/>
                <w:szCs w:val="20"/>
              </w:rPr>
            </w:pPr>
            <w:r w:rsidRPr="00DF3A13">
              <w:rPr>
                <w:b/>
                <w:sz w:val="20"/>
                <w:szCs w:val="20"/>
              </w:rPr>
              <w:t>1 474 047,38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A13" w:rsidRPr="00DF3A13" w:rsidRDefault="00DF3A13" w:rsidP="00DF3A13">
            <w:pPr>
              <w:jc w:val="right"/>
              <w:rPr>
                <w:b/>
                <w:sz w:val="20"/>
                <w:szCs w:val="20"/>
              </w:rPr>
            </w:pPr>
            <w:r w:rsidRPr="00DF3A13">
              <w:rPr>
                <w:b/>
                <w:sz w:val="20"/>
                <w:szCs w:val="20"/>
              </w:rPr>
              <w:t>14,2 </w:t>
            </w:r>
          </w:p>
        </w:tc>
      </w:tr>
    </w:tbl>
    <w:p w:rsidR="00442117" w:rsidRDefault="00442117" w:rsidP="008F7EAC">
      <w:pPr>
        <w:pStyle w:val="af8"/>
        <w:ind w:right="-153"/>
        <w:jc w:val="lef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324511">
        <w:rPr>
          <w:b w:val="0"/>
          <w:sz w:val="22"/>
          <w:szCs w:val="22"/>
        </w:rPr>
        <w:t>29.04.2021 г.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324511">
        <w:rPr>
          <w:b w:val="0"/>
          <w:sz w:val="22"/>
          <w:szCs w:val="22"/>
        </w:rPr>
        <w:t>48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r w:rsidRPr="00524FF0">
        <w:rPr>
          <w:b/>
          <w:color w:val="000000"/>
        </w:rPr>
        <w:t xml:space="preserve">за </w:t>
      </w:r>
    </w:p>
    <w:p w:rsidR="006B0980" w:rsidRDefault="004F2D4B" w:rsidP="006B0980">
      <w:pPr>
        <w:jc w:val="center"/>
        <w:rPr>
          <w:b/>
          <w:color w:val="000000"/>
        </w:rPr>
      </w:pPr>
      <w:r>
        <w:rPr>
          <w:rFonts w:eastAsia="Times New Roman"/>
          <w:b/>
        </w:rPr>
        <w:t>1 квартал 2021</w:t>
      </w:r>
      <w:r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>фина</w:t>
      </w:r>
      <w:r w:rsidR="006B0980" w:rsidRPr="003D1E98">
        <w:rPr>
          <w:b/>
          <w:color w:val="000000"/>
        </w:rPr>
        <w:t>н</w:t>
      </w:r>
      <w:r w:rsidR="006B0980" w:rsidRPr="003D1E98">
        <w:rPr>
          <w:b/>
          <w:color w:val="000000"/>
        </w:rPr>
        <w:t xml:space="preserve">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-143 405,43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-7,8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-143 405,43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-7,8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-143 405,43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-7,8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-8 525 842,00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-3 482 236,85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-8 525 842,00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-3 482 236,85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-8 525 842,00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-3 482 236,85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-8 525 842,00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-3 482 236,85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10 367 177,84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3 338 831,42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10 367 177,84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3 338 831,42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10 367 177,84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3 338 831,42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BF6A85" w:rsidRPr="00BF6A85" w:rsidTr="004F3394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>
            <w:pPr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A85" w:rsidRPr="00BF6A85" w:rsidRDefault="00BF6A85" w:rsidP="00801CE9">
            <w:pPr>
              <w:jc w:val="center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10 367 177,84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3 338 831,42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6A85" w:rsidRPr="00BF6A85" w:rsidRDefault="00BF6A85">
            <w:pPr>
              <w:jc w:val="right"/>
              <w:rPr>
                <w:color w:val="000000"/>
                <w:sz w:val="20"/>
                <w:szCs w:val="20"/>
              </w:rPr>
            </w:pPr>
            <w:r w:rsidRPr="00BF6A85">
              <w:rPr>
                <w:color w:val="000000"/>
                <w:sz w:val="20"/>
                <w:szCs w:val="20"/>
              </w:rPr>
              <w:t>32,2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757EB9" w:rsidRDefault="00757EB9" w:rsidP="006B0980">
      <w:pPr>
        <w:jc w:val="right"/>
        <w:rPr>
          <w:sz w:val="22"/>
          <w:szCs w:val="22"/>
        </w:rPr>
      </w:pPr>
    </w:p>
    <w:p w:rsidR="00757EB9" w:rsidRPr="00757EB9" w:rsidRDefault="00757EB9" w:rsidP="006B0980">
      <w:pPr>
        <w:jc w:val="right"/>
        <w:rPr>
          <w:sz w:val="22"/>
          <w:szCs w:val="22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89671D" w:rsidRDefault="0089671D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Default="00324511" w:rsidP="006B0980">
      <w:pPr>
        <w:jc w:val="right"/>
        <w:rPr>
          <w:sz w:val="18"/>
          <w:szCs w:val="18"/>
        </w:rPr>
      </w:pPr>
    </w:p>
    <w:p w:rsidR="00324511" w:rsidRPr="000D453D" w:rsidRDefault="00324511" w:rsidP="00324511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324511" w:rsidRDefault="00324511" w:rsidP="00324511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324511" w:rsidRPr="000D453D" w:rsidRDefault="00324511" w:rsidP="00324511">
      <w:pPr>
        <w:jc w:val="center"/>
        <w:rPr>
          <w:b/>
        </w:rPr>
      </w:pPr>
      <w:r>
        <w:rPr>
          <w:b/>
        </w:rPr>
        <w:t>за 1 квартал 2021 года</w:t>
      </w:r>
    </w:p>
    <w:p w:rsidR="00324511" w:rsidRDefault="00324511" w:rsidP="003245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324511" w:rsidRPr="00660281" w:rsidTr="00324511">
        <w:tc>
          <w:tcPr>
            <w:tcW w:w="4773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31.03.2021 года</w:t>
            </w:r>
          </w:p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324511" w:rsidRPr="00660281" w:rsidRDefault="00324511" w:rsidP="00324511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324511" w:rsidRDefault="00324511" w:rsidP="00324511">
            <w:pPr>
              <w:spacing w:before="100" w:beforeAutospacing="1" w:after="100" w:afterAutospacing="1"/>
              <w:rPr>
                <w:b/>
              </w:rPr>
            </w:pPr>
            <w:r w:rsidRPr="00324511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24511">
              <w:rPr>
                <w:b/>
              </w:rPr>
              <w:t>8 526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24511">
              <w:rPr>
                <w:b/>
              </w:rPr>
              <w:t>1 617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324511">
              <w:rPr>
                <w:b/>
                <w:color w:val="000000"/>
              </w:rPr>
              <w:t>19,0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right"/>
            </w:pPr>
            <w:r w:rsidRPr="00660281">
              <w:t>2 404</w:t>
            </w:r>
          </w:p>
        </w:tc>
        <w:tc>
          <w:tcPr>
            <w:tcW w:w="1679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right"/>
            </w:pPr>
            <w:r w:rsidRPr="00660281">
              <w:t>476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19,8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right"/>
            </w:pPr>
            <w:r w:rsidRPr="00660281">
              <w:t>6 122</w:t>
            </w:r>
          </w:p>
        </w:tc>
        <w:tc>
          <w:tcPr>
            <w:tcW w:w="1679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right"/>
            </w:pPr>
            <w:r w:rsidRPr="00660281">
              <w:t>1 141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18,6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324511" w:rsidRDefault="00324511" w:rsidP="00324511">
            <w:pPr>
              <w:spacing w:before="100" w:beforeAutospacing="1" w:after="100" w:afterAutospacing="1"/>
              <w:rPr>
                <w:b/>
              </w:rPr>
            </w:pPr>
            <w:r w:rsidRPr="00324511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324511">
              <w:rPr>
                <w:b/>
                <w:color w:val="000000"/>
              </w:rPr>
              <w:t>10 367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324511">
              <w:rPr>
                <w:b/>
                <w:color w:val="000000"/>
              </w:rPr>
              <w:t>1 474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324511">
              <w:rPr>
                <w:b/>
                <w:color w:val="000000"/>
              </w:rPr>
              <w:t>14,2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2 858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620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21,7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137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29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21,2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2 930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181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6,2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1 213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168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13,8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2 846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382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13,4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383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94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24,5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324511" w:rsidRDefault="00324511" w:rsidP="00324511">
            <w:pPr>
              <w:spacing w:before="100" w:beforeAutospacing="1" w:after="100" w:afterAutospacing="1"/>
              <w:rPr>
                <w:b/>
              </w:rPr>
            </w:pPr>
            <w:r w:rsidRPr="00324511">
              <w:rPr>
                <w:b/>
              </w:rPr>
              <w:t>Дефицит, профицит (+,-)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24511">
              <w:rPr>
                <w:b/>
              </w:rPr>
              <w:t>-1 841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24511">
              <w:rPr>
                <w:b/>
              </w:rPr>
              <w:t>143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324511">
              <w:rPr>
                <w:b/>
                <w:color w:val="000000"/>
              </w:rPr>
              <w:t>-7,8</w:t>
            </w:r>
          </w:p>
        </w:tc>
      </w:tr>
      <w:tr w:rsidR="00324511" w:rsidRPr="00660281" w:rsidTr="00324511">
        <w:tc>
          <w:tcPr>
            <w:tcW w:w="4773" w:type="dxa"/>
          </w:tcPr>
          <w:p w:rsidR="00324511" w:rsidRPr="00324511" w:rsidRDefault="00324511" w:rsidP="00324511">
            <w:pPr>
              <w:spacing w:before="100" w:beforeAutospacing="1" w:after="100" w:afterAutospacing="1"/>
              <w:rPr>
                <w:b/>
              </w:rPr>
            </w:pPr>
            <w:r w:rsidRPr="00324511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24511">
              <w:rPr>
                <w:b/>
              </w:rPr>
              <w:t>1 841</w:t>
            </w:r>
          </w:p>
        </w:tc>
        <w:tc>
          <w:tcPr>
            <w:tcW w:w="1679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24511">
              <w:rPr>
                <w:b/>
              </w:rPr>
              <w:t>-143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b/>
                <w:color w:val="000000"/>
              </w:rPr>
            </w:pPr>
            <w:r w:rsidRPr="00324511">
              <w:rPr>
                <w:b/>
                <w:color w:val="000000"/>
              </w:rPr>
              <w:t>-7,8</w:t>
            </w:r>
          </w:p>
        </w:tc>
      </w:tr>
      <w:tr w:rsidR="00324511" w:rsidRPr="00B8799F" w:rsidTr="00324511">
        <w:tc>
          <w:tcPr>
            <w:tcW w:w="4773" w:type="dxa"/>
          </w:tcPr>
          <w:p w:rsidR="00324511" w:rsidRPr="00660281" w:rsidRDefault="00324511" w:rsidP="00324511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right"/>
            </w:pPr>
            <w:r w:rsidRPr="00660281">
              <w:t>1 841</w:t>
            </w:r>
          </w:p>
        </w:tc>
        <w:tc>
          <w:tcPr>
            <w:tcW w:w="1679" w:type="dxa"/>
            <w:vAlign w:val="center"/>
          </w:tcPr>
          <w:p w:rsidR="00324511" w:rsidRPr="00660281" w:rsidRDefault="00324511" w:rsidP="00324511">
            <w:pPr>
              <w:spacing w:before="100" w:beforeAutospacing="1" w:after="100" w:afterAutospacing="1"/>
              <w:jc w:val="right"/>
            </w:pPr>
            <w:r w:rsidRPr="00660281">
              <w:t>-143</w:t>
            </w:r>
          </w:p>
        </w:tc>
        <w:tc>
          <w:tcPr>
            <w:tcW w:w="1427" w:type="dxa"/>
            <w:vAlign w:val="center"/>
          </w:tcPr>
          <w:p w:rsidR="00324511" w:rsidRPr="00324511" w:rsidRDefault="00324511" w:rsidP="0032451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24511">
              <w:rPr>
                <w:color w:val="000000"/>
              </w:rPr>
              <w:t>-7,8</w:t>
            </w:r>
          </w:p>
        </w:tc>
      </w:tr>
    </w:tbl>
    <w:p w:rsidR="00324511" w:rsidRDefault="00324511" w:rsidP="00324511">
      <w:pPr>
        <w:rPr>
          <w:b/>
        </w:rPr>
      </w:pPr>
    </w:p>
    <w:p w:rsidR="00324511" w:rsidRDefault="00324511" w:rsidP="00324511">
      <w:pPr>
        <w:jc w:val="center"/>
        <w:rPr>
          <w:b/>
        </w:rPr>
      </w:pPr>
    </w:p>
    <w:p w:rsidR="00324511" w:rsidRDefault="00324511" w:rsidP="00324511">
      <w:pPr>
        <w:jc w:val="center"/>
        <w:rPr>
          <w:b/>
        </w:rPr>
      </w:pPr>
    </w:p>
    <w:p w:rsidR="00324511" w:rsidRDefault="00324511" w:rsidP="00324511">
      <w:pPr>
        <w:jc w:val="center"/>
        <w:rPr>
          <w:b/>
        </w:rPr>
      </w:pPr>
    </w:p>
    <w:p w:rsidR="00324511" w:rsidRPr="005C4AA1" w:rsidRDefault="00324511" w:rsidP="00324511">
      <w:pPr>
        <w:jc w:val="center"/>
        <w:rPr>
          <w:b/>
        </w:rPr>
      </w:pPr>
      <w:r w:rsidRPr="005C4AA1">
        <w:rPr>
          <w:b/>
        </w:rPr>
        <w:t>Сведения</w:t>
      </w:r>
    </w:p>
    <w:p w:rsidR="00324511" w:rsidRPr="005C4AA1" w:rsidRDefault="00324511" w:rsidP="00324511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324511" w:rsidRPr="000D453D" w:rsidRDefault="00324511" w:rsidP="00324511">
      <w:pPr>
        <w:jc w:val="center"/>
        <w:rPr>
          <w:b/>
        </w:rPr>
      </w:pPr>
      <w:r>
        <w:rPr>
          <w:b/>
        </w:rPr>
        <w:t>за 1 квартал 2021 года</w:t>
      </w:r>
    </w:p>
    <w:p w:rsidR="00324511" w:rsidRDefault="00324511" w:rsidP="00324511">
      <w:pPr>
        <w:jc w:val="center"/>
      </w:pPr>
    </w:p>
    <w:p w:rsidR="00324511" w:rsidRDefault="00324511" w:rsidP="003245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324511" w:rsidRPr="00A553C7" w:rsidTr="00324511">
        <w:tc>
          <w:tcPr>
            <w:tcW w:w="3379" w:type="dxa"/>
            <w:vAlign w:val="center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 w:rsidRPr="00A553C7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 w:rsidRPr="00A553C7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 w:rsidRPr="00A553C7">
              <w:t>Фактические расходы на оплату труда (тыс. руб.)</w:t>
            </w:r>
          </w:p>
        </w:tc>
      </w:tr>
      <w:tr w:rsidR="00324511" w:rsidRPr="00A553C7" w:rsidTr="00324511">
        <w:tc>
          <w:tcPr>
            <w:tcW w:w="3379" w:type="dxa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 w:rsidRPr="00A553C7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 w:rsidRPr="00A553C7">
              <w:t>2</w:t>
            </w:r>
          </w:p>
        </w:tc>
        <w:tc>
          <w:tcPr>
            <w:tcW w:w="3131" w:type="dxa"/>
            <w:vAlign w:val="bottom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>
              <w:t>214</w:t>
            </w:r>
          </w:p>
        </w:tc>
        <w:bookmarkStart w:id="0" w:name="_GoBack"/>
        <w:bookmarkEnd w:id="0"/>
      </w:tr>
      <w:tr w:rsidR="00324511" w:rsidRPr="0038265E" w:rsidTr="00324511">
        <w:tc>
          <w:tcPr>
            <w:tcW w:w="3379" w:type="dxa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 w:rsidRPr="00A553C7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324511" w:rsidRPr="00A553C7" w:rsidRDefault="00324511" w:rsidP="0032451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131" w:type="dxa"/>
            <w:vAlign w:val="bottom"/>
          </w:tcPr>
          <w:p w:rsidR="00324511" w:rsidRPr="001E2044" w:rsidRDefault="00324511" w:rsidP="00324511">
            <w:pPr>
              <w:spacing w:before="100" w:beforeAutospacing="1" w:after="100" w:afterAutospacing="1"/>
              <w:jc w:val="center"/>
            </w:pPr>
            <w:r>
              <w:t>464</w:t>
            </w:r>
          </w:p>
        </w:tc>
      </w:tr>
    </w:tbl>
    <w:p w:rsidR="00324511" w:rsidRDefault="00324511" w:rsidP="00324511">
      <w:pPr>
        <w:jc w:val="center"/>
      </w:pPr>
    </w:p>
    <w:p w:rsidR="00324511" w:rsidRDefault="00324511" w:rsidP="00324511">
      <w:pPr>
        <w:jc w:val="center"/>
      </w:pPr>
    </w:p>
    <w:p w:rsidR="00324511" w:rsidRDefault="00324511" w:rsidP="00324511">
      <w:pPr>
        <w:jc w:val="center"/>
      </w:pPr>
    </w:p>
    <w:p w:rsidR="00324511" w:rsidRDefault="00324511" w:rsidP="00324511">
      <w:pPr>
        <w:jc w:val="center"/>
      </w:pPr>
    </w:p>
    <w:p w:rsidR="00324511" w:rsidRDefault="00324511" w:rsidP="00324511">
      <w:pPr>
        <w:jc w:val="both"/>
      </w:pPr>
      <w:r>
        <w:t xml:space="preserve">И.о.главы Харайгунского </w:t>
      </w:r>
    </w:p>
    <w:p w:rsidR="00324511" w:rsidRPr="00A13128" w:rsidRDefault="00324511" w:rsidP="00324511">
      <w:pPr>
        <w:jc w:val="both"/>
      </w:pPr>
      <w:r>
        <w:t xml:space="preserve">муниципального образования                                                                             Е.А. Мармазова </w:t>
      </w:r>
    </w:p>
    <w:p w:rsidR="00324511" w:rsidRDefault="00324511" w:rsidP="00324511">
      <w:pPr>
        <w:jc w:val="center"/>
      </w:pPr>
    </w:p>
    <w:p w:rsidR="00324511" w:rsidRPr="001206AE" w:rsidRDefault="00324511" w:rsidP="006B0980">
      <w:pPr>
        <w:jc w:val="right"/>
        <w:rPr>
          <w:sz w:val="18"/>
          <w:szCs w:val="18"/>
        </w:rPr>
      </w:pPr>
    </w:p>
    <w:sectPr w:rsidR="00324511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53" w:rsidRDefault="000F2653" w:rsidP="007960DC">
      <w:r>
        <w:separator/>
      </w:r>
    </w:p>
  </w:endnote>
  <w:endnote w:type="continuationSeparator" w:id="1">
    <w:p w:rsidR="000F2653" w:rsidRDefault="000F2653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39" w:rsidRDefault="00137039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137039" w:rsidRDefault="00137039">
    <w:pPr>
      <w:pStyle w:val="af"/>
      <w:ind w:right="360"/>
    </w:pPr>
  </w:p>
  <w:p w:rsidR="00137039" w:rsidRDefault="00137039"/>
  <w:p w:rsidR="00137039" w:rsidRPr="000B7388" w:rsidRDefault="00137039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53" w:rsidRDefault="000F2653" w:rsidP="007960DC">
      <w:r>
        <w:separator/>
      </w:r>
    </w:p>
  </w:footnote>
  <w:footnote w:type="continuationSeparator" w:id="1">
    <w:p w:rsidR="000F2653" w:rsidRDefault="000F2653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2653"/>
    <w:rsid w:val="000F77B1"/>
    <w:rsid w:val="00100123"/>
    <w:rsid w:val="001026B8"/>
    <w:rsid w:val="00102A9B"/>
    <w:rsid w:val="00106C95"/>
    <w:rsid w:val="00113548"/>
    <w:rsid w:val="00113765"/>
    <w:rsid w:val="001164D0"/>
    <w:rsid w:val="00117549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57E0"/>
    <w:rsid w:val="0027154C"/>
    <w:rsid w:val="002729C3"/>
    <w:rsid w:val="002839B0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10586"/>
    <w:rsid w:val="003170E9"/>
    <w:rsid w:val="00320715"/>
    <w:rsid w:val="00321F6A"/>
    <w:rsid w:val="00324511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5109"/>
    <w:rsid w:val="004A1035"/>
    <w:rsid w:val="004A1DDB"/>
    <w:rsid w:val="004B2FB7"/>
    <w:rsid w:val="004B488B"/>
    <w:rsid w:val="004B5BB9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B51BF"/>
    <w:rsid w:val="005D4752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D65"/>
    <w:rsid w:val="00652958"/>
    <w:rsid w:val="00653409"/>
    <w:rsid w:val="00654859"/>
    <w:rsid w:val="00661FE2"/>
    <w:rsid w:val="00662111"/>
    <w:rsid w:val="00667218"/>
    <w:rsid w:val="00671DF2"/>
    <w:rsid w:val="00672D6E"/>
    <w:rsid w:val="00677F61"/>
    <w:rsid w:val="00691094"/>
    <w:rsid w:val="006A053F"/>
    <w:rsid w:val="006A1028"/>
    <w:rsid w:val="006A1F92"/>
    <w:rsid w:val="006A70B4"/>
    <w:rsid w:val="006B0980"/>
    <w:rsid w:val="006B44BF"/>
    <w:rsid w:val="006B472A"/>
    <w:rsid w:val="006C283A"/>
    <w:rsid w:val="006C3780"/>
    <w:rsid w:val="006C3D17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32C5F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B006FD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7477A"/>
    <w:rsid w:val="00B74EF3"/>
    <w:rsid w:val="00B76542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61005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7FF8"/>
    <w:rsid w:val="00FB0EEC"/>
    <w:rsid w:val="00FB2316"/>
    <w:rsid w:val="00FB36A7"/>
    <w:rsid w:val="00FB5CCA"/>
    <w:rsid w:val="00FC2D22"/>
    <w:rsid w:val="00FC56DD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324511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2021-04-29T09:16:00Z</cp:lastPrinted>
  <dcterms:created xsi:type="dcterms:W3CDTF">2021-04-29T09:17:00Z</dcterms:created>
  <dcterms:modified xsi:type="dcterms:W3CDTF">2021-04-29T09:17:00Z</dcterms:modified>
</cp:coreProperties>
</file>